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493" w:rsidRPr="008E1063" w:rsidRDefault="002F7493" w:rsidP="002F7493">
      <w:pPr>
        <w:tabs>
          <w:tab w:val="left" w:pos="2250"/>
        </w:tabs>
        <w:spacing w:after="120"/>
        <w:rPr>
          <w:rFonts w:cs="Times New Roman"/>
          <w:sz w:val="24"/>
          <w:szCs w:val="24"/>
        </w:rPr>
      </w:pPr>
      <w:bookmarkStart w:id="0" w:name="_GoBack"/>
      <w:bookmarkEnd w:id="0"/>
      <w:r w:rsidRPr="008E1063">
        <w:rPr>
          <w:rFonts w:cs="Times New Roman"/>
          <w:sz w:val="24"/>
          <w:szCs w:val="24"/>
        </w:rPr>
        <w:t xml:space="preserve">Dear Lender, </w:t>
      </w:r>
    </w:p>
    <w:p w:rsidR="002F7493" w:rsidRPr="008E1063" w:rsidRDefault="002F7493" w:rsidP="002F7493">
      <w:pPr>
        <w:tabs>
          <w:tab w:val="left" w:pos="2250"/>
        </w:tabs>
        <w:spacing w:after="0"/>
        <w:rPr>
          <w:rFonts w:cs="Times New Roman"/>
          <w:sz w:val="24"/>
          <w:szCs w:val="24"/>
        </w:rPr>
      </w:pPr>
      <w:r w:rsidRPr="008E1063">
        <w:rPr>
          <w:rFonts w:cs="Times New Roman"/>
          <w:sz w:val="24"/>
          <w:szCs w:val="24"/>
        </w:rPr>
        <w:t>The home located at: ____________</w:t>
      </w:r>
      <w:r>
        <w:rPr>
          <w:rFonts w:cs="Times New Roman"/>
          <w:sz w:val="24"/>
          <w:szCs w:val="24"/>
        </w:rPr>
        <w:t>______________________</w:t>
      </w:r>
      <w:r w:rsidRPr="008E1063">
        <w:rPr>
          <w:rFonts w:cs="Times New Roman"/>
          <w:sz w:val="24"/>
          <w:szCs w:val="24"/>
        </w:rPr>
        <w:t xml:space="preserve">__________________________ </w:t>
      </w:r>
      <w:r w:rsidRPr="008E1063">
        <w:rPr>
          <w:rFonts w:cs="Times New Roman"/>
          <w:sz w:val="24"/>
          <w:szCs w:val="24"/>
        </w:rPr>
        <w:br/>
        <w:t>is a special property type. It is a</w:t>
      </w:r>
      <w:r>
        <w:rPr>
          <w:rFonts w:cs="Times New Roman"/>
          <w:sz w:val="24"/>
          <w:szCs w:val="24"/>
        </w:rPr>
        <w:t xml:space="preserve"> green, and/or</w:t>
      </w:r>
      <w:r w:rsidRPr="008E1063">
        <w:rPr>
          <w:rFonts w:cs="Times New Roman"/>
          <w:sz w:val="24"/>
          <w:szCs w:val="24"/>
        </w:rPr>
        <w:t xml:space="preserve"> energy efficient, high-performing home</w:t>
      </w:r>
      <w:r>
        <w:rPr>
          <w:rFonts w:cs="Times New Roman"/>
          <w:sz w:val="24"/>
          <w:szCs w:val="24"/>
        </w:rPr>
        <w:t xml:space="preserve"> as shown below</w:t>
      </w:r>
      <w:r w:rsidRPr="008E1063">
        <w:rPr>
          <w:rFonts w:cs="Times New Roman"/>
          <w:sz w:val="24"/>
          <w:szCs w:val="24"/>
        </w:rPr>
        <w:t xml:space="preserve">: </w:t>
      </w:r>
    </w:p>
    <w:p w:rsidR="002F7493" w:rsidRPr="008E1063" w:rsidRDefault="002F7493" w:rsidP="002F7493">
      <w:pPr>
        <w:pStyle w:val="ListParagraph"/>
        <w:numPr>
          <w:ilvl w:val="0"/>
          <w:numId w:val="1"/>
        </w:numPr>
        <w:tabs>
          <w:tab w:val="left" w:pos="2250"/>
        </w:tabs>
        <w:spacing w:before="0" w:after="0" w:line="240" w:lineRule="auto"/>
        <w:contextualSpacing w:val="0"/>
        <w:rPr>
          <w:rFonts w:cs="Times New Roman"/>
          <w:sz w:val="24"/>
          <w:szCs w:val="24"/>
        </w:rPr>
      </w:pPr>
      <w:r w:rsidRPr="008E1063">
        <w:rPr>
          <w:rFonts w:cs="Times New Roman"/>
          <w:sz w:val="24"/>
          <w:szCs w:val="24"/>
        </w:rPr>
        <w:t>2012 International Energy Conservation Code (2012 IECC)</w:t>
      </w:r>
    </w:p>
    <w:p w:rsidR="002F7493" w:rsidRPr="008E1063" w:rsidRDefault="002F7493" w:rsidP="002F7493">
      <w:pPr>
        <w:pStyle w:val="ListParagraph"/>
        <w:numPr>
          <w:ilvl w:val="0"/>
          <w:numId w:val="1"/>
        </w:numPr>
        <w:tabs>
          <w:tab w:val="left" w:pos="2250"/>
        </w:tabs>
        <w:spacing w:before="0" w:after="0" w:line="240" w:lineRule="auto"/>
        <w:contextualSpacing w:val="0"/>
        <w:rPr>
          <w:rFonts w:cs="Times New Roman"/>
          <w:sz w:val="24"/>
          <w:szCs w:val="24"/>
        </w:rPr>
      </w:pPr>
      <w:r w:rsidRPr="008E1063">
        <w:rPr>
          <w:rFonts w:cs="Times New Roman"/>
          <w:sz w:val="24"/>
          <w:szCs w:val="24"/>
        </w:rPr>
        <w:t>2015 International Energy Conservation Code (2015 IECC)</w:t>
      </w:r>
    </w:p>
    <w:p w:rsidR="002F7493" w:rsidRDefault="002F7493" w:rsidP="002F7493">
      <w:pPr>
        <w:pStyle w:val="ListParagraph"/>
        <w:numPr>
          <w:ilvl w:val="0"/>
          <w:numId w:val="1"/>
        </w:numPr>
        <w:tabs>
          <w:tab w:val="left" w:pos="2250"/>
        </w:tabs>
        <w:spacing w:before="0" w:after="160" w:line="240" w:lineRule="auto"/>
        <w:contextualSpacing w:val="0"/>
        <w:rPr>
          <w:rFonts w:cs="Times New Roman"/>
          <w:sz w:val="24"/>
          <w:szCs w:val="24"/>
        </w:rPr>
      </w:pPr>
      <w:r w:rsidRPr="008E1063">
        <w:rPr>
          <w:rFonts w:cs="Times New Roman"/>
          <w:sz w:val="24"/>
          <w:szCs w:val="24"/>
        </w:rPr>
        <w:t>Existing home with Energy/Green Retrofits</w:t>
      </w:r>
    </w:p>
    <w:p w:rsidR="002F7493" w:rsidRPr="001A135D" w:rsidRDefault="002F7493" w:rsidP="002F7493">
      <w:pPr>
        <w:tabs>
          <w:tab w:val="left" w:pos="2250"/>
        </w:tabs>
        <w:spacing w:after="360" w:line="240" w:lineRule="auto"/>
      </w:pPr>
      <w:r w:rsidRPr="001A135D">
        <w:t xml:space="preserve">Description of energy efficient and/or green upgrades: </w:t>
      </w:r>
    </w:p>
    <w:p w:rsidR="002F7493" w:rsidRDefault="002F7493" w:rsidP="002F7493">
      <w:pPr>
        <w:pBdr>
          <w:top w:val="single" w:sz="12" w:space="1" w:color="auto"/>
          <w:bottom w:val="single" w:sz="12" w:space="1" w:color="auto"/>
        </w:pBdr>
        <w:tabs>
          <w:tab w:val="left" w:pos="2250"/>
        </w:tabs>
        <w:spacing w:after="240" w:line="240" w:lineRule="auto"/>
        <w:contextualSpacing/>
        <w:rPr>
          <w:b/>
        </w:rPr>
      </w:pPr>
    </w:p>
    <w:p w:rsidR="002F7493" w:rsidRDefault="002F7493" w:rsidP="002F7493">
      <w:pPr>
        <w:pBdr>
          <w:bottom w:val="single" w:sz="12" w:space="1" w:color="auto"/>
          <w:between w:val="single" w:sz="12" w:space="1" w:color="auto"/>
        </w:pBdr>
        <w:tabs>
          <w:tab w:val="left" w:pos="2250"/>
        </w:tabs>
        <w:spacing w:after="240" w:line="240" w:lineRule="auto"/>
        <w:contextualSpacing/>
        <w:rPr>
          <w:b/>
        </w:rPr>
      </w:pPr>
    </w:p>
    <w:p w:rsidR="002F7493" w:rsidRDefault="002F7493" w:rsidP="002F7493">
      <w:pPr>
        <w:pBdr>
          <w:bottom w:val="single" w:sz="12" w:space="1" w:color="auto"/>
          <w:between w:val="single" w:sz="12" w:space="1" w:color="auto"/>
        </w:pBdr>
        <w:tabs>
          <w:tab w:val="left" w:pos="2250"/>
        </w:tabs>
        <w:spacing w:after="240" w:line="240" w:lineRule="auto"/>
        <w:contextualSpacing/>
        <w:rPr>
          <w:b/>
        </w:rPr>
      </w:pPr>
    </w:p>
    <w:p w:rsidR="002F7493" w:rsidRDefault="002F7493" w:rsidP="002F7493">
      <w:pPr>
        <w:pBdr>
          <w:bottom w:val="single" w:sz="12" w:space="1" w:color="auto"/>
          <w:between w:val="single" w:sz="12" w:space="1" w:color="auto"/>
        </w:pBdr>
        <w:tabs>
          <w:tab w:val="left" w:pos="2250"/>
        </w:tabs>
        <w:spacing w:after="240" w:line="240" w:lineRule="auto"/>
        <w:contextualSpacing/>
        <w:rPr>
          <w:b/>
        </w:rPr>
      </w:pPr>
    </w:p>
    <w:p w:rsidR="002F7493" w:rsidRDefault="002F7493" w:rsidP="002F7493">
      <w:pPr>
        <w:pBdr>
          <w:bottom w:val="single" w:sz="12" w:space="1" w:color="auto"/>
          <w:between w:val="single" w:sz="12" w:space="1" w:color="auto"/>
        </w:pBdr>
        <w:tabs>
          <w:tab w:val="left" w:pos="2250"/>
        </w:tabs>
        <w:spacing w:after="240" w:line="240" w:lineRule="auto"/>
        <w:contextualSpacing/>
        <w:rPr>
          <w:b/>
        </w:rPr>
      </w:pPr>
    </w:p>
    <w:p w:rsidR="002F7493" w:rsidRDefault="002F7493" w:rsidP="002F7493">
      <w:pPr>
        <w:spacing w:after="0"/>
        <w:rPr>
          <w:sz w:val="24"/>
          <w:szCs w:val="24"/>
        </w:rPr>
      </w:pPr>
    </w:p>
    <w:p w:rsidR="002F7493" w:rsidRPr="008E1063" w:rsidRDefault="002F7493" w:rsidP="002F7493">
      <w:pPr>
        <w:rPr>
          <w:sz w:val="24"/>
          <w:szCs w:val="24"/>
        </w:rPr>
      </w:pPr>
      <w:r w:rsidRPr="008E1063">
        <w:rPr>
          <w:sz w:val="24"/>
          <w:szCs w:val="24"/>
        </w:rPr>
        <w:t>A copy of the Green and Energy Efficient Addendum form, and the energy report (if available, or two years of utility bills) should be included with the appraisal engagement letter. Fannie Mae, Freddie Mac and FHA require lenders to choose appraisers properly qualified to value the green and/or energy efficiency features of a high performing, energy efficient home in the local real estate market.</w:t>
      </w:r>
    </w:p>
    <w:p w:rsidR="002F7493" w:rsidRPr="008E1063" w:rsidRDefault="002F7493" w:rsidP="002F7493">
      <w:pPr>
        <w:tabs>
          <w:tab w:val="left" w:pos="2250"/>
        </w:tabs>
        <w:rPr>
          <w:sz w:val="24"/>
          <w:szCs w:val="24"/>
        </w:rPr>
      </w:pPr>
      <w:r w:rsidRPr="008E1063">
        <w:rPr>
          <w:rFonts w:cs="Times New Roman"/>
          <w:sz w:val="24"/>
          <w:szCs w:val="24"/>
        </w:rPr>
        <w:t xml:space="preserve">You can access a list of appraisers who may have those qualifications at the </w:t>
      </w:r>
      <w:r w:rsidRPr="008E1063">
        <w:rPr>
          <w:i/>
          <w:sz w:val="24"/>
          <w:szCs w:val="24"/>
        </w:rPr>
        <w:t>Valuation of Sustainable Buildings Professional Development Program Registry</w:t>
      </w:r>
      <w:r w:rsidRPr="008E1063">
        <w:rPr>
          <w:sz w:val="24"/>
          <w:szCs w:val="24"/>
        </w:rPr>
        <w:t xml:space="preserve">, available at: </w:t>
      </w:r>
      <w:hyperlink r:id="rId5" w:history="1">
        <w:r w:rsidRPr="008E1063">
          <w:rPr>
            <w:rStyle w:val="Hyperlink"/>
            <w:sz w:val="24"/>
            <w:szCs w:val="24"/>
          </w:rPr>
          <w:t>http://www.myappraisalinstitute.org/findappraiser/green_sustainability_residential.aspx</w:t>
        </w:r>
      </w:hyperlink>
      <w:r w:rsidRPr="008E1063">
        <w:rPr>
          <w:rFonts w:cs="Times New Roman"/>
          <w:sz w:val="24"/>
          <w:szCs w:val="24"/>
        </w:rPr>
        <w:t xml:space="preserve">. These </w:t>
      </w:r>
      <w:r>
        <w:rPr>
          <w:rFonts w:cs="Times New Roman"/>
          <w:sz w:val="24"/>
          <w:szCs w:val="24"/>
        </w:rPr>
        <w:t xml:space="preserve">specially-trained </w:t>
      </w:r>
      <w:r w:rsidRPr="008E1063">
        <w:rPr>
          <w:rFonts w:cs="Times New Roman"/>
          <w:sz w:val="24"/>
          <w:szCs w:val="24"/>
        </w:rPr>
        <w:t xml:space="preserve">appraisers have completed 28 hours of education and passed three exams.  If the appraisers on your panel are not on this list, they can complete 14 education hours online to get started at: </w:t>
      </w:r>
      <w:hyperlink r:id="rId6" w:history="1">
        <w:r w:rsidRPr="008E1063">
          <w:rPr>
            <w:rStyle w:val="Hyperlink"/>
            <w:sz w:val="24"/>
            <w:szCs w:val="24"/>
          </w:rPr>
          <w:t>http://www.myappraisalinstitute.org/education/course_descrb/Default.aspx?prgrm_nbr=826&amp;key_type=CO</w:t>
        </w:r>
      </w:hyperlink>
      <w:r w:rsidRPr="008E1063">
        <w:rPr>
          <w:sz w:val="24"/>
          <w:szCs w:val="24"/>
        </w:rPr>
        <w:t xml:space="preserve"> </w:t>
      </w:r>
    </w:p>
    <w:p w:rsidR="002F7493" w:rsidRPr="008E1063" w:rsidRDefault="002F7493" w:rsidP="002F7493">
      <w:pPr>
        <w:tabs>
          <w:tab w:val="left" w:pos="2250"/>
        </w:tabs>
        <w:rPr>
          <w:rFonts w:cs="Times New Roman"/>
          <w:sz w:val="24"/>
          <w:szCs w:val="24"/>
        </w:rPr>
      </w:pPr>
      <w:r w:rsidRPr="008E1063">
        <w:rPr>
          <w:rFonts w:cs="Times New Roman"/>
          <w:sz w:val="24"/>
          <w:szCs w:val="24"/>
        </w:rPr>
        <w:t>Appraisers on this list are not required to be Appraisal Institute members but must take the required courses and pass the exams to be listed.</w:t>
      </w:r>
    </w:p>
    <w:p w:rsidR="002F7493" w:rsidRPr="008E1063" w:rsidRDefault="002F7493" w:rsidP="002F7493">
      <w:pPr>
        <w:spacing w:after="120"/>
        <w:rPr>
          <w:rFonts w:cs="Times New Roman"/>
          <w:sz w:val="24"/>
          <w:szCs w:val="24"/>
        </w:rPr>
      </w:pPr>
      <w:r w:rsidRPr="008E1063">
        <w:rPr>
          <w:rFonts w:cs="Times New Roman"/>
          <w:sz w:val="24"/>
          <w:szCs w:val="24"/>
        </w:rPr>
        <w:t>If you have questions, please contact:</w:t>
      </w:r>
    </w:p>
    <w:p w:rsidR="002F7493" w:rsidRPr="008E1063" w:rsidRDefault="002F7493" w:rsidP="002F7493">
      <w:pPr>
        <w:spacing w:after="120"/>
        <w:rPr>
          <w:rFonts w:cs="Times New Roman"/>
          <w:sz w:val="24"/>
          <w:szCs w:val="24"/>
        </w:rPr>
      </w:pPr>
      <w:r w:rsidRPr="008E1063">
        <w:rPr>
          <w:rFonts w:cs="Times New Roman"/>
          <w:sz w:val="24"/>
          <w:szCs w:val="24"/>
        </w:rPr>
        <w:t>NAME: ______________________</w:t>
      </w:r>
      <w:r>
        <w:rPr>
          <w:rFonts w:cs="Times New Roman"/>
          <w:sz w:val="24"/>
          <w:szCs w:val="24"/>
        </w:rPr>
        <w:t>_______</w:t>
      </w:r>
      <w:r w:rsidRPr="008E1063">
        <w:rPr>
          <w:rFonts w:cs="Times New Roman"/>
          <w:sz w:val="24"/>
          <w:szCs w:val="24"/>
        </w:rPr>
        <w:t>________</w:t>
      </w:r>
      <w:r>
        <w:rPr>
          <w:rFonts w:cs="Times New Roman"/>
          <w:sz w:val="24"/>
          <w:szCs w:val="24"/>
        </w:rPr>
        <w:t>__</w:t>
      </w:r>
      <w:r w:rsidRPr="008E1063">
        <w:rPr>
          <w:rFonts w:cs="Times New Roman"/>
          <w:sz w:val="24"/>
          <w:szCs w:val="24"/>
        </w:rPr>
        <w:t>____________</w:t>
      </w:r>
    </w:p>
    <w:p w:rsidR="002F7493" w:rsidRPr="008E1063" w:rsidRDefault="002F7493" w:rsidP="002F7493">
      <w:pPr>
        <w:spacing w:after="120"/>
        <w:rPr>
          <w:rFonts w:cs="Times New Roman"/>
          <w:sz w:val="24"/>
          <w:szCs w:val="24"/>
        </w:rPr>
      </w:pPr>
      <w:r w:rsidRPr="008E1063">
        <w:rPr>
          <w:rFonts w:cs="Times New Roman"/>
          <w:sz w:val="24"/>
          <w:szCs w:val="24"/>
        </w:rPr>
        <w:t>PHONE: _________________________</w:t>
      </w:r>
      <w:r>
        <w:rPr>
          <w:rFonts w:cs="Times New Roman"/>
          <w:sz w:val="24"/>
          <w:szCs w:val="24"/>
        </w:rPr>
        <w:t>_______</w:t>
      </w:r>
      <w:r w:rsidRPr="008E1063">
        <w:rPr>
          <w:rFonts w:cs="Times New Roman"/>
          <w:sz w:val="24"/>
          <w:szCs w:val="24"/>
        </w:rPr>
        <w:t>__________________</w:t>
      </w:r>
    </w:p>
    <w:p w:rsidR="002F7493" w:rsidRPr="008E1063" w:rsidRDefault="002F7493" w:rsidP="002F7493">
      <w:pPr>
        <w:spacing w:after="120"/>
        <w:rPr>
          <w:rFonts w:cs="Times New Roman"/>
          <w:sz w:val="24"/>
          <w:szCs w:val="24"/>
        </w:rPr>
      </w:pPr>
      <w:r w:rsidRPr="008E1063">
        <w:rPr>
          <w:rFonts w:cs="Times New Roman"/>
          <w:sz w:val="24"/>
          <w:szCs w:val="24"/>
        </w:rPr>
        <w:t>EMAIL ADDRESS: _________</w:t>
      </w:r>
      <w:r>
        <w:rPr>
          <w:rFonts w:cs="Times New Roman"/>
          <w:sz w:val="24"/>
          <w:szCs w:val="24"/>
        </w:rPr>
        <w:t>____________________</w:t>
      </w:r>
      <w:r w:rsidRPr="008E1063">
        <w:rPr>
          <w:rFonts w:cs="Times New Roman"/>
          <w:sz w:val="24"/>
          <w:szCs w:val="24"/>
        </w:rPr>
        <w:t>______________</w:t>
      </w:r>
    </w:p>
    <w:p w:rsidR="007620E7" w:rsidRDefault="00F72EEA"/>
    <w:sectPr w:rsidR="00762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07741"/>
    <w:multiLevelType w:val="hybridMultilevel"/>
    <w:tmpl w:val="751AEFEC"/>
    <w:lvl w:ilvl="0" w:tplc="4DDE9FF0">
      <w:start w:val="1"/>
      <w:numFmt w:val="bullet"/>
      <w:lvlText w:val=""/>
      <w:lvlJc w:val="center"/>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93"/>
    <w:rsid w:val="002F7493"/>
    <w:rsid w:val="00447B7E"/>
    <w:rsid w:val="00DC4238"/>
    <w:rsid w:val="00F7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8E1A1-1CAB-4688-8F59-2994AA3C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93"/>
    <w:pPr>
      <w:spacing w:before="200" w:after="200" w:line="276" w:lineRule="auto"/>
      <w:ind w:left="720"/>
      <w:contextualSpacing/>
    </w:pPr>
    <w:rPr>
      <w:sz w:val="20"/>
      <w:szCs w:val="20"/>
    </w:rPr>
  </w:style>
  <w:style w:type="character" w:styleId="Hyperlink">
    <w:name w:val="Hyperlink"/>
    <w:basedOn w:val="DefaultParagraphFont"/>
    <w:uiPriority w:val="99"/>
    <w:unhideWhenUsed/>
    <w:rsid w:val="002F7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appraisalinstitute.org/education/course_descrb/Default.aspx?prgrm_nbr=826&amp;key_type=CO" TargetMode="External"/><Relationship Id="rId5" Type="http://schemas.openxmlformats.org/officeDocument/2006/relationships/hyperlink" Target="http://www.myappraisalinstitute.org/findappraiser/green_sustainability_residential.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Ellingson, Maria</dc:creator>
  <cp:keywords/>
  <dc:description/>
  <cp:lastModifiedBy>Ellingson, Maria</cp:lastModifiedBy>
  <cp:revision>2</cp:revision>
  <dcterms:created xsi:type="dcterms:W3CDTF">2016-10-31T19:28:00Z</dcterms:created>
  <dcterms:modified xsi:type="dcterms:W3CDTF">2016-10-31T19:28:00Z</dcterms:modified>
</cp:coreProperties>
</file>